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ind w:left="0" w:hanging="0"/>
        <w:outlineLvl w:val="0"/>
        <w:rPr>
          <w:rFonts w:ascii="Times New Roman" w:hAnsi="Times New Roman"/>
        </w:rPr>
      </w:pPr>
      <w:r>
        <w:rPr>
          <w:rFonts w:eastAsia="Times New Roman" w:cs="Times New Roman" w:ascii="Times New Roman" w:hAnsi="Times New Roman"/>
          <w:b/>
          <w:bCs/>
          <w:kern w:val="2"/>
          <w:sz w:val="48"/>
          <w:szCs w:val="48"/>
          <w:lang w:eastAsia="pt-BR"/>
        </w:rPr>
        <w:t>Orientações para Dispensa de Licitação pela CELIC</w:t>
      </w:r>
    </w:p>
    <w:p>
      <w:pPr>
        <w:pStyle w:val="Normal"/>
        <w:numPr>
          <w:ilvl w:val="0"/>
          <w:numId w:val="0"/>
        </w:numPr>
        <w:spacing w:lineRule="auto" w:line="240" w:beforeAutospacing="1" w:afterAutospacing="1"/>
        <w:ind w:left="0" w:hanging="0"/>
        <w:jc w:val="both"/>
        <w:outlineLvl w:val="0"/>
        <w:rPr>
          <w:rFonts w:ascii="Calibri" w:hAnsi="Calibri"/>
          <w:sz w:val="24"/>
          <w:szCs w:val="24"/>
        </w:rPr>
      </w:pPr>
      <w:r>
        <w:rPr>
          <w:rFonts w:eastAsia="Times New Roman" w:cs="Helvetica"/>
          <w:b/>
          <w:bCs/>
          <w:color w:val="333333"/>
          <w:sz w:val="24"/>
          <w:szCs w:val="24"/>
          <w:lang w:eastAsia="pt-BR"/>
        </w:rPr>
        <w:t>Orientações para realização de Dispensa de Licitação de bens pela CELIC em conformidade com a nova Lei de Licitações e Contratos Administrativos - Lei nº 14.133/2021</w:t>
      </w:r>
    </w:p>
    <w:p>
      <w:pPr>
        <w:pStyle w:val="Normal"/>
        <w:shd w:val="clear" w:color="auto" w:fill="FFFFFF"/>
        <w:spacing w:lineRule="auto" w:line="240" w:beforeAutospacing="1" w:afterAutospacing="1"/>
        <w:rPr>
          <w:rFonts w:ascii="Calibri" w:hAnsi="Calibri"/>
          <w:sz w:val="24"/>
          <w:szCs w:val="24"/>
        </w:rPr>
      </w:pPr>
      <w:r>
        <w:rPr>
          <w:rFonts w:cs="Calibri" w:cstheme="minorHAnsi"/>
          <w:color w:val="000000" w:themeColor="text1"/>
          <w:sz w:val="24"/>
          <w:szCs w:val="24"/>
        </w:rPr>
        <w:t xml:space="preserve">Previsão legal:  inciso II, artigo 75 – até </w:t>
      </w:r>
      <w:r>
        <w:rPr>
          <w:rFonts w:cs="Helvetica"/>
          <w:color w:val="333333"/>
          <w:sz w:val="24"/>
          <w:szCs w:val="24"/>
          <w:shd w:fill="FFFFFF" w:val="clear"/>
        </w:rPr>
        <w:t>R$ 59.906,02</w:t>
      </w:r>
      <w:r>
        <w:rPr>
          <w:rFonts w:cs="Calibri" w:cstheme="minorHAnsi"/>
          <w:color w:val="000000" w:themeColor="text1"/>
          <w:sz w:val="24"/>
          <w:szCs w:val="24"/>
        </w:rPr>
        <w:t>.</w:t>
      </w:r>
    </w:p>
    <w:p>
      <w:pPr>
        <w:pStyle w:val="Normal"/>
        <w:shd w:val="clear" w:color="auto" w:fill="FFFFFF"/>
        <w:spacing w:lineRule="auto" w:line="240" w:beforeAutospacing="1" w:afterAutospacing="1"/>
        <w:rPr>
          <w:rFonts w:ascii="Calibri" w:hAnsi="Calibri"/>
          <w:sz w:val="24"/>
          <w:szCs w:val="24"/>
        </w:rPr>
      </w:pPr>
      <w:r>
        <w:rPr>
          <w:rFonts w:eastAsia="Times New Roman" w:cs="Helvetica"/>
          <w:b/>
          <w:bCs/>
          <w:color w:val="333333"/>
          <w:sz w:val="24"/>
          <w:szCs w:val="24"/>
          <w:lang w:eastAsia="pt-BR"/>
        </w:rPr>
        <w:t>No Sistema GCE:</w:t>
      </w:r>
    </w:p>
    <w:p>
      <w:pPr>
        <w:pStyle w:val="ListParagraph"/>
        <w:numPr>
          <w:ilvl w:val="0"/>
          <w:numId w:val="1"/>
        </w:numPr>
        <w:shd w:val="clear" w:color="auto" w:fill="FFFFFF"/>
        <w:spacing w:lineRule="auto" w:line="240" w:beforeAutospacing="1" w:afterAutospacing="1"/>
        <w:contextualSpacing/>
        <w:rPr>
          <w:rFonts w:ascii="Calibri" w:hAnsi="Calibri"/>
          <w:sz w:val="24"/>
          <w:szCs w:val="24"/>
        </w:rPr>
      </w:pPr>
      <w:r>
        <w:rPr>
          <w:rFonts w:eastAsia="Times New Roman" w:cs="Helvetica"/>
          <w:color w:val="333333"/>
          <w:sz w:val="24"/>
          <w:szCs w:val="24"/>
          <w:lang w:eastAsia="pt-BR"/>
        </w:rPr>
        <w:t xml:space="preserve">O órgão deverá elaborar a requisição de aquisição no Sistema GCE, do tipo </w:t>
      </w:r>
      <w:r>
        <w:rPr>
          <w:rFonts w:eastAsia="Times New Roman" w:cs="Helvetica"/>
          <w:b/>
          <w:bCs/>
          <w:color w:val="333333"/>
          <w:sz w:val="24"/>
          <w:szCs w:val="24"/>
          <w:lang w:eastAsia="pt-BR"/>
        </w:rPr>
        <w:t>DISPENSA</w:t>
      </w:r>
      <w:r>
        <w:rPr>
          <w:rFonts w:eastAsia="Times New Roman" w:cs="Helvetica"/>
          <w:color w:val="333333"/>
          <w:sz w:val="24"/>
          <w:szCs w:val="24"/>
          <w:lang w:eastAsia="pt-BR"/>
        </w:rPr>
        <w:t xml:space="preserve">, motivo </w:t>
      </w:r>
      <w:r>
        <w:rPr>
          <w:rFonts w:eastAsia="Times New Roman" w:cs="Helvetica"/>
          <w:b/>
          <w:i w:val="false"/>
          <w:caps w:val="false"/>
          <w:smallCaps w:val="false"/>
          <w:color w:val="333333"/>
          <w:spacing w:val="0"/>
          <w:sz w:val="24"/>
          <w:szCs w:val="24"/>
          <w:lang w:eastAsia="pt-BR"/>
        </w:rPr>
        <w:t>VALOR OUTROS SERVIÇOS E COMPRAS INCISO II ART. 75 LEI 14.133/2021</w:t>
      </w:r>
      <w:r>
        <w:rPr>
          <w:rFonts w:eastAsia="Times New Roman" w:cs="Helvetica"/>
          <w:color w:val="333333"/>
          <w:sz w:val="24"/>
          <w:szCs w:val="24"/>
          <w:lang w:eastAsia="pt-BR"/>
        </w:rPr>
        <w:t xml:space="preserve"> com a obrigatoriedade do preenchimento dos itens I, II e XIII do Estudo Técnico Preliminar – ETP.</w:t>
      </w:r>
    </w:p>
    <w:p>
      <w:pPr>
        <w:pStyle w:val="ListParagraph"/>
        <w:shd w:val="clear" w:color="auto" w:fill="FFFFFF"/>
        <w:spacing w:lineRule="auto" w:line="240" w:beforeAutospacing="1" w:afterAutospacing="1"/>
        <w:contextualSpacing/>
        <w:rPr>
          <w:rFonts w:ascii="Calibri" w:hAnsi="Calibri" w:eastAsia="Times New Roman" w:cs="Helvetica"/>
          <w:color w:val="333333"/>
          <w:sz w:val="24"/>
          <w:szCs w:val="24"/>
          <w:lang w:eastAsia="pt-BR"/>
        </w:rPr>
      </w:pPr>
      <w:r>
        <w:rPr>
          <w:rFonts w:eastAsia="Times New Roman" w:cs="Helvetica"/>
          <w:color w:val="333333"/>
          <w:sz w:val="24"/>
          <w:szCs w:val="24"/>
          <w:lang w:eastAsia="pt-BR"/>
        </w:rPr>
      </w:r>
    </w:p>
    <w:p>
      <w:pPr>
        <w:pStyle w:val="ListParagraph"/>
        <w:shd w:val="clear" w:color="auto" w:fill="FFFFFF"/>
        <w:spacing w:lineRule="auto" w:line="240" w:beforeAutospacing="1" w:afterAutospacing="1"/>
        <w:contextualSpacing/>
        <w:rPr>
          <w:rFonts w:ascii="Calibri" w:hAnsi="Calibri"/>
          <w:sz w:val="24"/>
          <w:szCs w:val="24"/>
        </w:rPr>
      </w:pPr>
      <w:r>
        <w:rPr>
          <w:rFonts w:eastAsia="Times New Roman" w:cs="Helvetica"/>
          <w:color w:val="333333"/>
          <w:sz w:val="24"/>
          <w:szCs w:val="24"/>
          <w:lang w:eastAsia="pt-BR"/>
        </w:rPr>
        <w:t>Em que pese a elaboração do ETP seja facultativo, os itens I, II e XIII fazem parte da justificativa da aquisição e sobre a previsão no Plano de Contratações Anual.</w:t>
      </w:r>
    </w:p>
    <w:p>
      <w:pPr>
        <w:pStyle w:val="Normal"/>
        <w:shd w:val="clear" w:color="auto" w:fill="FFFFFF"/>
        <w:spacing w:lineRule="auto" w:line="240" w:beforeAutospacing="1" w:afterAutospacing="1"/>
        <w:jc w:val="both"/>
        <w:rPr>
          <w:rFonts w:ascii="Calibri" w:hAnsi="Calibri"/>
          <w:sz w:val="24"/>
          <w:szCs w:val="24"/>
        </w:rPr>
      </w:pPr>
      <w:r>
        <w:rPr>
          <w:rFonts w:eastAsia="Times New Roman" w:cs="Helvetica"/>
          <w:color w:val="333333"/>
          <w:sz w:val="24"/>
          <w:szCs w:val="24"/>
          <w:lang w:eastAsia="pt-BR"/>
        </w:rPr>
        <w:t xml:space="preserve">ATENÇÃO: as dispensas realizadas pela CELIC são publicadas apenas no site do </w:t>
      </w:r>
      <w:r>
        <w:rPr>
          <w:rFonts w:eastAsia="Times New Roman" w:cs="Helvetica"/>
          <w:color w:val="333333"/>
          <w:sz w:val="24"/>
          <w:szCs w:val="24"/>
          <w:lang w:eastAsia="pt-BR"/>
        </w:rPr>
        <w:t>COE</w:t>
      </w:r>
      <w:r>
        <w:rPr>
          <w:rFonts w:eastAsia="Times New Roman" w:cs="Helvetica"/>
          <w:color w:val="333333"/>
          <w:sz w:val="24"/>
          <w:szCs w:val="24"/>
          <w:lang w:eastAsia="pt-BR"/>
        </w:rPr>
        <w:t xml:space="preserve"> </w:t>
      </w:r>
      <w:r>
        <w:rPr>
          <w:rFonts w:eastAsia="Times New Roman" w:cs="Helvetica"/>
          <w:color w:val="333333"/>
          <w:sz w:val="24"/>
          <w:szCs w:val="24"/>
          <w:lang w:eastAsia="pt-BR"/>
        </w:rPr>
        <w:t>(</w:t>
      </w:r>
      <w:r>
        <w:rPr>
          <w:rFonts w:eastAsia="Times New Roman" w:cs="Helvetica"/>
          <w:color w:val="333333"/>
          <w:sz w:val="24"/>
          <w:szCs w:val="24"/>
          <w:lang w:eastAsia="pt-BR"/>
        </w:rPr>
        <w:t>compras.rs.gov.br</w:t>
      </w:r>
      <w:r>
        <w:rPr>
          <w:rFonts w:eastAsia="Times New Roman" w:cs="Helvetica"/>
          <w:color w:val="333333"/>
          <w:sz w:val="24"/>
          <w:szCs w:val="24"/>
          <w:lang w:eastAsia="pt-BR"/>
        </w:rPr>
        <w:t>)</w:t>
      </w:r>
      <w:r>
        <w:rPr>
          <w:rFonts w:eastAsia="Times New Roman" w:cs="Helvetica"/>
          <w:color w:val="333333"/>
          <w:sz w:val="24"/>
          <w:szCs w:val="24"/>
          <w:lang w:eastAsia="pt-BR"/>
        </w:rPr>
        <w:t xml:space="preserve"> </w:t>
      </w:r>
      <w:r>
        <w:rPr>
          <w:rFonts w:eastAsia="Times New Roman" w:cs="Helvetica"/>
          <w:color w:val="333333"/>
          <w:sz w:val="24"/>
          <w:szCs w:val="24"/>
          <w:lang w:eastAsia="pt-BR"/>
        </w:rPr>
        <w:t>e PNCP</w:t>
      </w:r>
      <w:r>
        <w:rPr>
          <w:rFonts w:eastAsia="Times New Roman" w:cs="Helvetica"/>
          <w:color w:val="333333"/>
          <w:sz w:val="24"/>
          <w:szCs w:val="24"/>
          <w:lang w:eastAsia="pt-BR"/>
        </w:rPr>
        <w:t>. Caso o recurso solicite outros meios de publicação, deverá ser realizada a aquisição por licitação.</w:t>
      </w:r>
    </w:p>
    <w:p>
      <w:pPr>
        <w:pStyle w:val="Normal"/>
        <w:numPr>
          <w:ilvl w:val="0"/>
          <w:numId w:val="0"/>
        </w:numPr>
        <w:shd w:val="clear" w:color="auto" w:fill="FFFFFF"/>
        <w:spacing w:lineRule="auto" w:line="240" w:beforeAutospacing="1" w:afterAutospacing="1"/>
        <w:ind w:left="0" w:hanging="0"/>
        <w:outlineLvl w:val="3"/>
        <w:rPr>
          <w:rFonts w:ascii="Calibri" w:hAnsi="Calibri"/>
          <w:sz w:val="24"/>
          <w:szCs w:val="24"/>
        </w:rPr>
      </w:pPr>
      <w:r>
        <w:rPr>
          <w:rFonts w:eastAsia="Times New Roman" w:cs="Helvetica"/>
          <w:b/>
          <w:bCs/>
          <w:color w:val="333333"/>
          <w:sz w:val="24"/>
          <w:szCs w:val="24"/>
          <w:lang w:eastAsia="pt-BR"/>
        </w:rPr>
        <w:t>Instrução do PROA:</w:t>
      </w:r>
    </w:p>
    <w:p>
      <w:pPr>
        <w:pStyle w:val="Normal"/>
        <w:shd w:val="clear" w:color="auto" w:fill="FFFFFF"/>
        <w:spacing w:lineRule="auto" w:line="240" w:beforeAutospacing="1" w:afterAutospacing="1"/>
        <w:jc w:val="both"/>
        <w:rPr>
          <w:rFonts w:ascii="Calibri" w:hAnsi="Calibri"/>
          <w:sz w:val="24"/>
          <w:szCs w:val="24"/>
        </w:rPr>
      </w:pPr>
      <w:r>
        <w:rPr>
          <w:rFonts w:eastAsia="Times New Roman" w:cs="Helvetica"/>
          <w:color w:val="333333"/>
          <w:sz w:val="24"/>
          <w:szCs w:val="24"/>
          <w:lang w:eastAsia="pt-BR"/>
        </w:rPr>
        <w:t>1. É imprescindível o envio do PROA da requisição para solicitação da dispensa. A dispensa será tramitada nesse processo sempre que possível.</w:t>
      </w:r>
    </w:p>
    <w:p>
      <w:pPr>
        <w:pStyle w:val="Normal"/>
        <w:shd w:val="clear" w:color="auto" w:fill="FFFFFF"/>
        <w:spacing w:lineRule="auto" w:line="240" w:beforeAutospacing="1" w:afterAutospacing="1"/>
        <w:jc w:val="both"/>
        <w:rPr>
          <w:rFonts w:ascii="Calibri" w:hAnsi="Calibri"/>
          <w:sz w:val="24"/>
          <w:szCs w:val="24"/>
        </w:rPr>
      </w:pPr>
      <w:r>
        <w:rPr>
          <w:rFonts w:eastAsia="Times New Roman" w:cs="Helvetica"/>
          <w:color w:val="333333"/>
          <w:sz w:val="24"/>
          <w:szCs w:val="24"/>
          <w:lang w:eastAsia="pt-BR"/>
        </w:rPr>
        <w:t xml:space="preserve">2. </w:t>
      </w:r>
      <w:r>
        <w:rPr>
          <w:rFonts w:eastAsia="Times New Roman" w:cs="Helvetica"/>
          <w:color w:val="333333"/>
          <w:sz w:val="24"/>
          <w:szCs w:val="24"/>
          <w:lang w:eastAsia="pt-BR"/>
        </w:rPr>
        <w:t xml:space="preserve">Solicitação de abertura de procedimento </w:t>
      </w:r>
      <w:r>
        <w:rPr>
          <w:rFonts w:eastAsia="Times New Roman" w:cs="Helvetica"/>
          <w:color w:val="333333"/>
          <w:sz w:val="24"/>
          <w:szCs w:val="24"/>
          <w:lang w:eastAsia="pt-BR"/>
        </w:rPr>
        <w:t>decompra</w:t>
      </w:r>
      <w:r>
        <w:rPr>
          <w:rFonts w:eastAsia="Times New Roman" w:cs="Helvetica"/>
          <w:color w:val="333333"/>
          <w:sz w:val="24"/>
          <w:szCs w:val="24"/>
          <w:lang w:eastAsia="pt-BR"/>
        </w:rPr>
        <w:t xml:space="preserve"> – pode ser simples, desde que assinada pelo diretor ou coordenador do órgão demandante;</w:t>
      </w:r>
    </w:p>
    <w:p>
      <w:pPr>
        <w:pStyle w:val="Normal"/>
        <w:shd w:val="clear" w:color="auto" w:fill="FFFFFF"/>
        <w:spacing w:lineRule="auto" w:line="240" w:beforeAutospacing="1" w:afterAutospacing="1"/>
        <w:jc w:val="both"/>
        <w:rPr>
          <w:rFonts w:ascii="Calibri" w:hAnsi="Calibri"/>
          <w:sz w:val="24"/>
          <w:szCs w:val="24"/>
        </w:rPr>
      </w:pPr>
      <w:r>
        <w:rPr>
          <w:rFonts w:eastAsia="Times New Roman" w:cs="Helvetica"/>
          <w:color w:val="333333"/>
          <w:sz w:val="24"/>
          <w:szCs w:val="24"/>
          <w:lang w:eastAsia="pt-BR"/>
        </w:rPr>
        <w:t>3</w:t>
      </w:r>
      <w:r>
        <w:rPr>
          <w:rFonts w:eastAsia="Times New Roman" w:cs="Helvetica"/>
          <w:color w:val="333333"/>
          <w:sz w:val="24"/>
          <w:szCs w:val="24"/>
          <w:lang w:eastAsia="pt-BR"/>
        </w:rPr>
        <w:t>. O processo pode conter mais de uma requisição, as quais serão incluídas na mesma compra. Sempre que possível, instruir aquisição de mesma natureza (família) no mesmo processo, a fim de otimização do procedimento, padronização e gestão contratual.</w:t>
      </w:r>
    </w:p>
    <w:p>
      <w:pPr>
        <w:pStyle w:val="Normal"/>
        <w:shd w:val="clear" w:color="auto" w:fill="FFFFFF"/>
        <w:spacing w:lineRule="auto" w:line="240" w:beforeAutospacing="1" w:afterAutospacing="1"/>
        <w:jc w:val="both"/>
        <w:rPr>
          <w:rFonts w:ascii="Calibri" w:hAnsi="Calibri"/>
          <w:sz w:val="24"/>
          <w:szCs w:val="24"/>
        </w:rPr>
      </w:pPr>
      <w:r>
        <w:rPr>
          <w:rFonts w:eastAsia="Times New Roman" w:cs="Helvetica"/>
          <w:color w:val="333333"/>
          <w:sz w:val="24"/>
          <w:szCs w:val="24"/>
          <w:lang w:eastAsia="pt-BR"/>
        </w:rPr>
        <w:t>4</w:t>
      </w:r>
      <w:r>
        <w:rPr>
          <w:rFonts w:eastAsia="Times New Roman" w:cs="Helvetica"/>
          <w:color w:val="333333"/>
          <w:sz w:val="24"/>
          <w:szCs w:val="24"/>
          <w:lang w:eastAsia="pt-BR"/>
        </w:rPr>
        <w:t xml:space="preserve">. No processo deve contar o </w:t>
      </w:r>
      <w:r>
        <w:rPr>
          <w:rFonts w:eastAsia="Times New Roman" w:cs="Helvetica"/>
          <w:b/>
          <w:color w:val="333333"/>
          <w:sz w:val="24"/>
          <w:szCs w:val="24"/>
          <w:lang w:eastAsia="pt-BR"/>
        </w:rPr>
        <w:t>relatório da requisição</w:t>
      </w:r>
      <w:r>
        <w:rPr>
          <w:rFonts w:eastAsia="Times New Roman" w:cs="Helvetica"/>
          <w:color w:val="333333"/>
          <w:sz w:val="24"/>
          <w:szCs w:val="24"/>
          <w:lang w:eastAsia="pt-BR"/>
        </w:rPr>
        <w:t xml:space="preserve"> elaborada no sistema GCE, a </w:t>
      </w:r>
      <w:r>
        <w:rPr>
          <w:rFonts w:eastAsia="Times New Roman" w:cs="Helvetica"/>
          <w:b/>
          <w:color w:val="333333"/>
          <w:sz w:val="24"/>
          <w:szCs w:val="24"/>
          <w:lang w:eastAsia="pt-BR"/>
        </w:rPr>
        <w:t xml:space="preserve">SRO </w:t>
      </w:r>
      <w:r>
        <w:rPr>
          <w:rFonts w:eastAsia="Times New Roman" w:cs="Helvetica"/>
          <w:color w:val="333333"/>
          <w:sz w:val="24"/>
          <w:szCs w:val="24"/>
          <w:lang w:eastAsia="pt-BR"/>
        </w:rPr>
        <w:t>com</w:t>
      </w:r>
      <w:bookmarkStart w:id="0" w:name="_GoBack"/>
      <w:bookmarkEnd w:id="0"/>
      <w:r>
        <w:rPr>
          <w:rFonts w:eastAsia="Times New Roman" w:cs="Helvetica"/>
          <w:color w:val="333333"/>
          <w:sz w:val="24"/>
          <w:szCs w:val="24"/>
          <w:lang w:eastAsia="pt-BR"/>
        </w:rPr>
        <w:t xml:space="preserve"> a indicação do objeto e valor suficiente para seu atendimento.</w:t>
      </w:r>
    </w:p>
    <w:p>
      <w:pPr>
        <w:pStyle w:val="Normal"/>
        <w:shd w:val="clear" w:color="auto" w:fill="FFFFFF"/>
        <w:spacing w:lineRule="auto" w:line="240" w:beforeAutospacing="1" w:afterAutospacing="1"/>
        <w:jc w:val="both"/>
        <w:rPr>
          <w:rFonts w:ascii="Calibri" w:hAnsi="Calibri"/>
          <w:sz w:val="24"/>
          <w:szCs w:val="24"/>
        </w:rPr>
      </w:pPr>
      <w:r>
        <w:rPr>
          <w:rFonts w:eastAsia="Times New Roman" w:cs="Helvetica"/>
          <w:color w:val="333333"/>
          <w:sz w:val="24"/>
          <w:szCs w:val="24"/>
          <w:lang w:eastAsia="pt-BR"/>
        </w:rPr>
        <w:t>5</w:t>
      </w:r>
      <w:r>
        <w:rPr>
          <w:rFonts w:eastAsia="Times New Roman" w:cs="Helvetica"/>
          <w:color w:val="333333"/>
          <w:sz w:val="24"/>
          <w:szCs w:val="24"/>
          <w:lang w:eastAsia="pt-BR"/>
        </w:rPr>
        <w:t xml:space="preserve">. Informação sobre a </w:t>
      </w:r>
      <w:r>
        <w:rPr>
          <w:rFonts w:eastAsia="Times New Roman" w:cs="Helvetica"/>
          <w:b/>
          <w:color w:val="333333"/>
          <w:sz w:val="24"/>
          <w:szCs w:val="24"/>
          <w:lang w:eastAsia="pt-BR"/>
        </w:rPr>
        <w:t>forma de contratação</w:t>
      </w:r>
      <w:r>
        <w:rPr>
          <w:rFonts w:eastAsia="Times New Roman" w:cs="Helvetica"/>
          <w:color w:val="333333"/>
          <w:sz w:val="24"/>
          <w:szCs w:val="24"/>
          <w:lang w:eastAsia="pt-BR"/>
        </w:rPr>
        <w:t xml:space="preserve"> (nota de empenho ou contrato) e o </w:t>
      </w:r>
      <w:r>
        <w:rPr>
          <w:rFonts w:eastAsia="Times New Roman" w:cs="Helvetica"/>
          <w:b/>
          <w:color w:val="333333"/>
          <w:sz w:val="24"/>
          <w:szCs w:val="24"/>
          <w:lang w:eastAsia="pt-BR"/>
        </w:rPr>
        <w:t xml:space="preserve">prazo de entrega. </w:t>
      </w:r>
      <w:r>
        <w:rPr>
          <w:rFonts w:eastAsia="Times New Roman" w:cs="Helvetica"/>
          <w:b w:val="false"/>
          <w:bCs w:val="false"/>
          <w:color w:val="333333"/>
          <w:sz w:val="24"/>
          <w:szCs w:val="24"/>
          <w:lang w:eastAsia="pt-BR"/>
        </w:rPr>
        <w:t>H</w:t>
      </w:r>
      <w:r>
        <w:rPr>
          <w:rFonts w:eastAsia="Times New Roman" w:cs="Helvetica"/>
          <w:color w:val="333333"/>
          <w:sz w:val="24"/>
          <w:szCs w:val="24"/>
          <w:lang w:eastAsia="pt-BR"/>
        </w:rPr>
        <w:t>avendo a necessidade da existência do contrato, o órgão demandante deverá justificar a existência do mesmo e indicar o prazo de assinatura e vigência, devidamente assinado pelo diretor do departamento de compras;</w:t>
      </w:r>
    </w:p>
    <w:p>
      <w:pPr>
        <w:pStyle w:val="Normal"/>
        <w:shd w:val="clear" w:color="auto" w:fill="FFFFFF"/>
        <w:spacing w:lineRule="auto" w:line="240" w:beforeAutospacing="1" w:afterAutospacing="1"/>
        <w:jc w:val="both"/>
        <w:rPr>
          <w:rFonts w:ascii="Calibri" w:hAnsi="Calibri"/>
          <w:sz w:val="24"/>
          <w:szCs w:val="24"/>
        </w:rPr>
      </w:pPr>
      <w:r>
        <w:rPr>
          <w:rFonts w:eastAsia="Times New Roman" w:cs="Helvetica"/>
          <w:color w:val="333333"/>
          <w:sz w:val="24"/>
          <w:szCs w:val="24"/>
          <w:lang w:eastAsia="pt-BR"/>
        </w:rPr>
        <w:t>6</w:t>
      </w:r>
      <w:r>
        <w:rPr>
          <w:rFonts w:eastAsia="Times New Roman" w:cs="Helvetica"/>
          <w:color w:val="333333"/>
          <w:sz w:val="24"/>
          <w:szCs w:val="24"/>
          <w:lang w:eastAsia="pt-BR"/>
        </w:rPr>
        <w:t>. Agrupamento de itens em mesmo lote: deve ter justificativa devidamente fundamentada da vantagem da escolha (Súmula n.º 247 do Tribunal de Contas da União).</w:t>
      </w:r>
    </w:p>
    <w:p>
      <w:pPr>
        <w:pStyle w:val="Normal"/>
        <w:shd w:val="clear" w:color="auto" w:fill="FFFFFF"/>
        <w:spacing w:lineRule="auto" w:line="240" w:beforeAutospacing="1" w:afterAutospacing="1"/>
        <w:jc w:val="both"/>
        <w:rPr>
          <w:rFonts w:ascii="Calibri" w:hAnsi="Calibri"/>
          <w:sz w:val="24"/>
          <w:szCs w:val="24"/>
        </w:rPr>
      </w:pPr>
      <w:r>
        <w:rPr>
          <w:rFonts w:eastAsia="Times New Roman" w:cs="Helvetica"/>
          <w:color w:val="333333"/>
          <w:sz w:val="24"/>
          <w:szCs w:val="24"/>
          <w:lang w:eastAsia="pt-BR"/>
        </w:rPr>
        <w:t>7. Considerando a publicação do Plano de Contratações Anual - PCA, para as aquisições não previstas na lista publicada pela CELIC, é fundamental que na requisição elaborada no sistema GCE (na aba do ETP) haja uma justificativa do motivo da demanda não ter sido prevista, para análise de demanda extraordinária. Para as demandas previstas, informar o nº da demanda.</w:t>
      </w:r>
    </w:p>
    <w:p>
      <w:pPr>
        <w:pStyle w:val="Normal"/>
        <w:spacing w:before="0" w:after="160"/>
        <w:jc w:val="both"/>
        <w:rPr>
          <w:rFonts w:ascii="Calibri" w:hAnsi="Calibri"/>
          <w:sz w:val="24"/>
          <w:szCs w:val="24"/>
        </w:rPr>
      </w:pPr>
      <w:r>
        <w:rPr>
          <w:sz w:val="24"/>
          <w:szCs w:val="24"/>
        </w:rPr>
        <w:t>É importante ressaltar que existe a possibilidade de aquisições por pronto pagamento, onde o valor para esse tipo aquisição é até R$ 2.995,30, conforme disciplinado na Lei nº 10.066, de 17 de janeiro de 1994 e da Lei Federal nº 14.133, de 1º de abril de 2021, e atualizado o valor pela Portaria CAGE Nº 1, DE 19 DE JANEIRO DE 2024.</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link w:val="Ttulo1Char"/>
    <w:uiPriority w:val="9"/>
    <w:qFormat/>
    <w:rsid w:val="00945a80"/>
    <w:pPr>
      <w:spacing w:lineRule="auto" w:line="240" w:beforeAutospacing="1" w:afterAutospacing="1"/>
      <w:outlineLvl w:val="0"/>
    </w:pPr>
    <w:rPr>
      <w:rFonts w:ascii="Times New Roman" w:hAnsi="Times New Roman" w:eastAsia="Times New Roman" w:cs="Times New Roman"/>
      <w:b/>
      <w:bCs/>
      <w:kern w:val="2"/>
      <w:sz w:val="48"/>
      <w:szCs w:val="48"/>
      <w:lang w:eastAsia="pt-BR"/>
    </w:rPr>
  </w:style>
  <w:style w:type="paragraph" w:styleId="Ttulo4">
    <w:name w:val="Heading 4"/>
    <w:basedOn w:val="Normal"/>
    <w:link w:val="Ttulo4Char"/>
    <w:uiPriority w:val="9"/>
    <w:qFormat/>
    <w:rsid w:val="00945a80"/>
    <w:pPr>
      <w:spacing w:lineRule="auto" w:line="240" w:beforeAutospacing="1" w:afterAutospacing="1"/>
      <w:outlineLvl w:val="3"/>
    </w:pPr>
    <w:rPr>
      <w:rFonts w:ascii="Times New Roman" w:hAnsi="Times New Roman" w:eastAsia="Times New Roman" w:cs="Times New Roman"/>
      <w:b/>
      <w:bCs/>
      <w:sz w:val="24"/>
      <w:szCs w:val="24"/>
      <w:lang w:eastAsia="pt-BR"/>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945a80"/>
    <w:rPr>
      <w:rFonts w:ascii="Times New Roman" w:hAnsi="Times New Roman" w:eastAsia="Times New Roman" w:cs="Times New Roman"/>
      <w:b/>
      <w:bCs/>
      <w:kern w:val="2"/>
      <w:sz w:val="48"/>
      <w:szCs w:val="48"/>
      <w:lang w:eastAsia="pt-BR"/>
    </w:rPr>
  </w:style>
  <w:style w:type="character" w:styleId="Ttulo4Char" w:customStyle="1">
    <w:name w:val="Título 4 Char"/>
    <w:basedOn w:val="DefaultParagraphFont"/>
    <w:link w:val="Ttulo4"/>
    <w:uiPriority w:val="9"/>
    <w:qFormat/>
    <w:rsid w:val="00945a80"/>
    <w:rPr>
      <w:rFonts w:ascii="Times New Roman" w:hAnsi="Times New Roman" w:eastAsia="Times New Roman" w:cs="Times New Roman"/>
      <w:b/>
      <w:bCs/>
      <w:sz w:val="24"/>
      <w:szCs w:val="24"/>
      <w:lang w:eastAsia="pt-BR"/>
    </w:rPr>
  </w:style>
  <w:style w:type="character" w:styleId="Strong">
    <w:name w:val="Strong"/>
    <w:basedOn w:val="DefaultParagraphFont"/>
    <w:uiPriority w:val="22"/>
    <w:qFormat/>
    <w:rsid w:val="00945a80"/>
    <w:rPr>
      <w:b/>
      <w:bCs/>
    </w:rPr>
  </w:style>
  <w:style w:type="character" w:styleId="LinkdaInternet">
    <w:name w:val="Link da Internet"/>
    <w:basedOn w:val="DefaultParagraphFont"/>
    <w:uiPriority w:val="99"/>
    <w:semiHidden/>
    <w:unhideWhenUsed/>
    <w:rsid w:val="00945a80"/>
    <w:rPr>
      <w:color w:val="0000FF"/>
      <w:u w:val="single"/>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Web">
    <w:name w:val="Normal (Web)"/>
    <w:basedOn w:val="Normal"/>
    <w:uiPriority w:val="99"/>
    <w:semiHidden/>
    <w:unhideWhenUsed/>
    <w:qFormat/>
    <w:rsid w:val="00945a80"/>
    <w:pPr>
      <w:spacing w:lineRule="auto" w:line="240" w:beforeAutospacing="1" w:afterAutospacing="1"/>
    </w:pPr>
    <w:rPr>
      <w:rFonts w:ascii="Times New Roman" w:hAnsi="Times New Roman" w:eastAsia="Times New Roman" w:cs="Times New Roman"/>
      <w:sz w:val="24"/>
      <w:szCs w:val="24"/>
      <w:lang w:eastAsia="pt-BR"/>
    </w:rPr>
  </w:style>
  <w:style w:type="paragraph" w:styleId="ListParagraph">
    <w:name w:val="List Paragraph"/>
    <w:basedOn w:val="Normal"/>
    <w:uiPriority w:val="34"/>
    <w:qFormat/>
    <w:rsid w:val="00945a80"/>
    <w:pPr>
      <w:spacing w:before="0" w:after="16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Application>LibreOffice/7.1.8.1$Windows_X86_64 LibreOffice_project/e1f30c802c3269a1d052614453f260e49458c82c</Application>
  <AppVersion>15.0000</AppVersion>
  <Pages>2</Pages>
  <Words>453</Words>
  <Characters>2333</Characters>
  <CharactersWithSpaces>2773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2024-05-02T11:58:00Z</dcterms:created>
  <dc:creator>Juliana Madeira Andrade</dc:creator>
  <dc:description/>
  <dc:language>pt-BR</dc:language>
  <cp:lastModifiedBy/>
  <dcterms:modified xsi:type="dcterms:W3CDTF">2024-06-13T14:34:47Z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